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numPr>
          <w:ilvl w:val="0"/>
          <w:numId w:val="0"/>
        </w:numPr>
        <w:bidi w:val="0"/>
        <w:spacing w:before="240" w:after="120"/>
        <w:jc w:val="left"/>
        <w:outlineLvl w:val="0"/>
        <w:rPr/>
      </w:pPr>
      <w:bookmarkStart w:id="0" w:name="docs-internal-guid-9fe7de94-3b03-33d8-bb"/>
      <w:bookmarkEnd w:id="0"/>
      <w:r>
        <w:rPr/>
        <w:t>Bevezető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Ez a dokumentum az adatkezelési megállapodások tipikus részeit mutatja be. Ez lehet a meglévő egyéb szolgáltatási szerződés része vagy annak kiegészítése.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Az ilyen megállapodás a GDPR 28/3/a cikkelye szerint kötelező az </w:t>
      </w:r>
      <w:r>
        <w:rPr/>
        <w:t>A</w:t>
      </w:r>
      <w:r>
        <w:rPr/>
        <w:t xml:space="preserve">datkezelő és </w:t>
      </w:r>
      <w:r>
        <w:rPr/>
        <w:t>A</w:t>
      </w:r>
      <w:r>
        <w:rPr/>
        <w:t>datfeldolgozó között: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… </w:t>
      </w:r>
      <w:r>
        <w:rPr>
          <w:b w:val="false"/>
          <w:i/>
        </w:rPr>
        <w:t>(az adat feldolgozó) a személyes adatokat kizárólag az adatkezelő írásbeli utasításai alapján kezeli – beleértve a személyes adatoknak valamely harmadik ország vagy nemzetközi szervezet számára való továbbítását is ...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Továbbá az adatfeldolgozónak, írásos garanciákat kell adnia az adatkezelő felé (28/1-es cikkely):</w:t>
      </w:r>
    </w:p>
    <w:p>
      <w:pPr>
        <w:pStyle w:val="Szvegtrzs"/>
        <w:bidi w:val="0"/>
        <w:jc w:val="left"/>
        <w:rPr>
          <w:i/>
          <w:i/>
          <w:iCs/>
        </w:rPr>
      </w:pPr>
      <w:r>
        <w:rPr>
          <w:i/>
          <w:iCs/>
        </w:rPr>
        <w:t>Ha az adatkezelést az adatkezelő nevében más végzi, az adatkezelő kizárólag olyan adatfeldolgozókat vehet igénybe, akik vagy amelyek megfelelő garanciákat nyújtanak az adatkezelés e rendelet követelményeinek való megfelelését és az érintettek jogainak védelmét biztosító, megfelelő technikai és szervezési intézkedések végrehajtására.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Ezen szabályok figyelembevételével készült a következőkben olvasható adatkezelési megállapodás, de ennek tartalmát mindig az adott esetre kell szabni. Ez jelentheti egyes részek kihagyását vagy további bővítését.</w:t>
      </w:r>
    </w:p>
    <w:p>
      <w:pPr>
        <w:pStyle w:val="Szvegtrzs"/>
        <w:bidi w:val="0"/>
        <w:jc w:val="left"/>
        <w:rPr/>
      </w:pPr>
      <w:r>
        <w:rPr/>
        <w:t>A megállapodásban kitöltendő részek: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Preambulumban a meglévő megbízási szerződés dátuma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Az 1-es pontban a szerződő felek adatai</w:t>
      </w:r>
    </w:p>
    <w:p>
      <w:pPr>
        <w:pStyle w:val="Szvegtrzs"/>
        <w:numPr>
          <w:ilvl w:val="0"/>
          <w:numId w:val="2"/>
        </w:numPr>
        <w:bidi w:val="0"/>
        <w:jc w:val="left"/>
        <w:rPr/>
      </w:pPr>
      <w:r>
        <w:rPr/>
        <w:t>A 2-es pontban az adatkezelés leírása (célok, adatok és alanyok kategóriái, időtartam)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A megállapodás egyes esetekben elszámolható költségeket engedélyez az adatfeldolgozónak. A költségelszámolás mikéntjét (menetét, mértékét, fizetési módját) szabályozni kell, ami az eredeti megbízási szerződésben már </w:t>
      </w:r>
      <w:r>
        <w:rPr/>
        <w:t>valószínűleg szerepel</w:t>
      </w:r>
      <w:r>
        <w:rPr/>
        <w:t xml:space="preserve">, </w:t>
      </w:r>
      <w:r>
        <w:rPr/>
        <w:t>de</w:t>
      </w:r>
      <w:r>
        <w:rPr/>
        <w:t xml:space="preserve"> ezen szerződés </w:t>
      </w:r>
      <w:r>
        <w:rPr/>
        <w:t>5-ös pontjában is meghatározhatjuk.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A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dokumentum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ot a Zenit Services adta közre (zenit-services.com) és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 xml:space="preserve"> az angliai adatvédelmi hatóság útmutatója alapján készült: </w:t>
      </w:r>
      <w:hyperlink r:id="rId2">
        <w:r>
          <w:rPr>
            <w:rStyle w:val="Internethivatkozs"/>
            <w:b w:val="false"/>
            <w:i w:val="false"/>
            <w:caps w:val="false"/>
            <w:smallCaps w:val="false"/>
            <w:strike w:val="false"/>
            <w:dstrike w:val="false"/>
            <w:color w:val="1155CC"/>
            <w:sz w:val="22"/>
            <w:szCs w:val="22"/>
            <w:u w:val="single"/>
            <w:effect w:val="none"/>
          </w:rPr>
          <w:t>ICO contract guidance</w:t>
        </w:r>
      </w:hyperlink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</w:rPr>
        <w:t>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------&gt;8---------------&gt;8---------------&gt;8---------------&gt;8---------------&gt;8---------------&gt;8---------</w:t>
      </w:r>
    </w:p>
    <w:p>
      <w:pPr>
        <w:pStyle w:val="Cmsor1"/>
        <w:numPr>
          <w:ilvl w:val="0"/>
          <w:numId w:val="0"/>
        </w:numPr>
        <w:bidi w:val="0"/>
        <w:spacing w:before="240" w:after="120"/>
        <w:jc w:val="left"/>
        <w:outlineLvl w:val="0"/>
        <w:rPr/>
      </w:pPr>
      <w:r>
        <w:rPr/>
        <w:t>Adatkezelési megállapodás</w:t>
      </w:r>
    </w:p>
    <w:p>
      <w:pPr>
        <w:pStyle w:val="Cmsor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/>
        <w:t>Preambulum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Ez az adatkezelési megállapodás (továbbiakban Megállapodás) kiterjeszti a felek közötti szerződést. Célja a Megállapodásnak, hogy részleteiben meghatározza a szerződés során történő adatkezelést, különös tekintettel a személyes adatok kezelését, ahogyan az az Európai Parlament És A Tanács (Eu) 2016/679 Rendeletében (Általános Adatvédelmi Rendeletben) (továbbiakban Rendelet) meghatározásra került.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 felek egyezően rögzítik, hogy közöttük _______________ napján adatkezelésre vonatkozó megbízási szerződés jött létre, mely részletesen tartalmazza a felek közötti megbízási jogviszony főbb szabályait. Jelen adatkezelési megállapodás kiegészíti ezt a szerződést. Jelen megállapodás célja, hogy tisztázza a felek közös és egyéni kötelezettségeit a megbízási szerződésben foglaltakon túlmenően.</w:t>
      </w:r>
    </w:p>
    <w:p>
      <w:pPr>
        <w:pStyle w:val="Cmsor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/>
        <w:t>1. Szerződő felek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Ez a Megállapodás a megrendelő (továbbiakban Adatkezelő) és a szolgáltató (továbbiakban Adatfeldolgozó) között jön létre.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A _________________ cég (székhely: ___________________________________________, cégjegyzékszám: _____________________, adószám: _________________), mint Adatkezelő, megbízza _______________________________ </w:t>
      </w:r>
      <w:r>
        <w:rPr/>
        <w:t>cége</w:t>
      </w:r>
      <w:r>
        <w:rPr/>
        <w:t xml:space="preserve">t (székhely: ___________________________________________, cégjegyzékszám: _____________________, adószám: _________________), mint Adatfeldolgozót, hogy a </w:t>
      </w:r>
      <w:r>
        <w:rPr/>
        <w:t xml:space="preserve">Rendelet </w:t>
      </w:r>
      <w:r>
        <w:rPr/>
        <w:t>4/1. cikkelyében meghatározott személyes adatokat az Adatkezelő nevében az Adatkez</w:t>
      </w:r>
      <w:r>
        <w:rPr/>
        <w:t>e</w:t>
      </w:r>
      <w:r>
        <w:rPr/>
        <w:t>lő által ezen Megállapodásban meghatározott módon kezelje.</w:t>
      </w:r>
    </w:p>
    <w:p>
      <w:pPr>
        <w:pStyle w:val="Cmsor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/>
        <w:t>2. Megállapodás hatóköre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A Megállapodás hatóköre az összes </w:t>
      </w:r>
      <w:r>
        <w:rPr/>
        <w:t xml:space="preserve">a Rendelet </w:t>
      </w:r>
      <w:r>
        <w:rPr/>
        <w:t xml:space="preserve">4/1 cikkelye szerint meghatározott személyes adat, amelyet az Adatfeldolgozó kezel. A </w:t>
      </w:r>
      <w:r>
        <w:rPr/>
        <w:t xml:space="preserve">Rendelet </w:t>
      </w:r>
      <w:r>
        <w:rPr/>
        <w:t>28-as cikkelyének megfelelően, ilyen adatkezelés csak az Adatkezelő írásos utasítása alapján történhet.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2.1 Az adatkezelés célja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Az Adatkezelő az Adatfeldolgozót az alábbi célokkal kapcsolatban utasítja adatkezelésre:</w:t>
      </w:r>
    </w:p>
    <w:p>
      <w:pPr>
        <w:pStyle w:val="Szvegtrzs"/>
        <w:bidi w:val="0"/>
        <w:jc w:val="left"/>
        <w:rPr>
          <w:color w:val="C9211E"/>
        </w:rPr>
      </w:pPr>
      <w:r>
        <w:rPr>
          <w:color w:val="C9211E"/>
        </w:rPr>
        <w:t xml:space="preserve">[célok felsorolása, pl bérszámfejtés, webshop szolgáltatás, </w:t>
      </w:r>
      <w:r>
        <w:rPr>
          <w:color w:val="C9211E"/>
        </w:rPr>
        <w:t>adatmentés</w:t>
      </w:r>
      <w:r>
        <w:rPr>
          <w:color w:val="C9211E"/>
        </w:rPr>
        <w:t>, stb]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2.2 Adat alanyok kategóriái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Az Adatkezelő az Adatfeldolgozót az alábbi adat alany kategóriákkal kapcsolatos adatkezelésre utasítja:</w:t>
      </w:r>
    </w:p>
    <w:p>
      <w:pPr>
        <w:pStyle w:val="Szvegtrzs"/>
        <w:bidi w:val="0"/>
        <w:jc w:val="left"/>
        <w:rPr>
          <w:color w:val="C9211E"/>
        </w:rPr>
      </w:pPr>
      <w:r>
        <w:rPr>
          <w:color w:val="C9211E"/>
        </w:rPr>
        <w:t xml:space="preserve">[adat alanyok </w:t>
      </w:r>
      <w:r>
        <w:rPr>
          <w:color w:val="C9211E"/>
        </w:rPr>
        <w:t>(természetes személyek)</w:t>
      </w:r>
      <w:r>
        <w:rPr>
          <w:color w:val="C9211E"/>
        </w:rPr>
        <w:t xml:space="preserve"> kategóriái: pl dolgozók, webshop vásárlók, stb]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2.3 Személyes adatok kategóriái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Az Adatkezelő az Adatfeldolgozót az alábbi személy</w:t>
      </w:r>
      <w:r>
        <w:rPr/>
        <w:t>es</w:t>
      </w:r>
      <w:r>
        <w:rPr/>
        <w:t xml:space="preserve"> adat kategóriákkal kapcsolatos adatkezelésre utasítja:</w:t>
      </w:r>
    </w:p>
    <w:p>
      <w:pPr>
        <w:pStyle w:val="Szvegtrzs"/>
        <w:bidi w:val="0"/>
        <w:jc w:val="left"/>
        <w:rPr>
          <w:color w:val="C9211E"/>
        </w:rPr>
      </w:pPr>
      <w:r>
        <w:rPr>
          <w:color w:val="C9211E"/>
        </w:rPr>
        <w:t xml:space="preserve">[adat kategóriák, pl számla adatok, </w:t>
      </w:r>
      <w:r>
        <w:rPr>
          <w:color w:val="C9211E"/>
        </w:rPr>
        <w:t xml:space="preserve">elérhetőségek, </w:t>
      </w:r>
      <w:r>
        <w:rPr>
          <w:color w:val="C9211E"/>
        </w:rPr>
        <w:t>email, telefonszám, stb]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2.4 Az adatkezelés időtartama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Az Adatkezelő a következőkben határozza meg az Adatfeldolgozó időbeni adatkezelési korlátait az egyes adat kategóriák kapcsán:</w:t>
      </w:r>
    </w:p>
    <w:p>
      <w:pPr>
        <w:pStyle w:val="Szvegtrzs"/>
        <w:bidi w:val="0"/>
        <w:jc w:val="left"/>
        <w:rPr>
          <w:color w:val="C9211E"/>
        </w:rPr>
      </w:pPr>
      <w:r>
        <w:rPr>
          <w:color w:val="C9211E"/>
        </w:rPr>
        <w:t>[</w:t>
      </w:r>
      <w:r>
        <w:rPr>
          <w:color w:val="C9211E"/>
        </w:rPr>
        <w:t xml:space="preserve">adat kategória - </w:t>
      </w:r>
      <w:r>
        <w:rPr>
          <w:color w:val="C9211E"/>
        </w:rPr>
        <w:t>időtartam (általában véve a szerződés idejére vonatkozik az adatkezelés időtartama)]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A szerződésben megállapított munkák elvégzése után, legkésőbb a szerződés felmondásakor, az Adatfeldolgozó iparági standardoknak megfelelő formátumban összegyűjt minden adatkezeléshez kapcsolódó dokumentumot </w:t>
      </w:r>
      <w:r>
        <w:rPr/>
        <w:t>és információt, beleértve</w:t>
      </w:r>
      <w:r>
        <w:rPr/>
        <w:t xml:space="preserve"> az adatok feldolgozásából eredő eredményeket és magát az adatokat is. Ezeket az adatokat az Adatkezelő részére átadja vagy az Adatkezelő engedélyével a Rendeletnek megfelelő módon azokat megsemmisíti, figyelembe véve, hogy nincs-e egyéb jogi kötelezettsége az adatok </w:t>
      </w:r>
      <w:r>
        <w:rPr/>
        <w:t>őrzésére.</w:t>
      </w:r>
      <w:r>
        <w:rPr/>
        <w:t xml:space="preserve"> Ugyanezen intézkedések érvényesek a teszt adatokra, a leselejtezett eszközökre és a biztonsági mentésekre is. A megsemmisítésről szóló jegyzőkönyvet az Adatkezelő kérésre az Adatfeldolgozó átadja.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 xml:space="preserve">2.5 </w:t>
      </w:r>
      <w:r>
        <w:rPr/>
        <w:t xml:space="preserve">Elvárt adatvédelmi intézkedéseket </w:t>
      </w:r>
      <w:r>
        <w:rPr>
          <w:color w:val="C9211E"/>
        </w:rPr>
        <w:t>(opcionális szakasz)</w:t>
      </w:r>
    </w:p>
    <w:p>
      <w:pPr>
        <w:pStyle w:val="Szvegtrzs"/>
        <w:bidi w:val="0"/>
        <w:jc w:val="left"/>
        <w:rPr/>
      </w:pPr>
      <w:r>
        <w:rPr/>
        <w:t>Az Adatkezelő a következőkben határozza meg az Adatfeldolgozó irányában az elvárt minimális adatvédelmi intézkedéseket.</w:t>
      </w:r>
    </w:p>
    <w:p>
      <w:pPr>
        <w:pStyle w:val="Szvegtrzs"/>
        <w:bidi w:val="0"/>
        <w:jc w:val="left"/>
        <w:rPr>
          <w:color w:val="C9211E"/>
        </w:rPr>
      </w:pPr>
      <w:r>
        <w:rPr>
          <w:color w:val="C9211E"/>
        </w:rPr>
        <w:t>[Szervezési vagy technikai intézkedések, pl. titkosítás, szabályzat létrehozása, tanúsítvány]</w:t>
      </w:r>
    </w:p>
    <w:p>
      <w:pPr>
        <w:pStyle w:val="Cmsor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/>
        <w:t>3. Kötelezettségek és jogok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3.1 Az Adatkezelő utasításai</w:t>
      </w:r>
    </w:p>
    <w:p>
      <w:pPr>
        <w:pStyle w:val="Szvegtrzs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beleegyezik, hogy a Megállapodásnak megfelelő módon, az Adatkezelő utasítása alapján kezel adatokat.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3.2 Az Adatfeldolgozó által nyújtott garanciák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Adatfeldolgozó garantálja, hogy minden adatkezelés a megfelelő titoktartással, továbbá </w:t>
      </w:r>
      <w:r>
        <w:rPr/>
        <w:t xml:space="preserve">a </w:t>
      </w:r>
      <w:r>
        <w:rPr/>
        <w:t>megfelelő technikai és szervezési óvintézkedésekkel történik.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garantálja, hogy minden adatkezelés folyamatában bevont személy megfelelő módon képzett az adatvédelemben, az adatbiztonságban és a bizalmas adatkezelésben.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garantálja, hogy az adatkezelés folyamatába bevont személyeket titoktartási kötelezettség köti.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Adatfeldolgozó </w:t>
      </w:r>
      <w:r>
        <w:rPr/>
        <w:t>vállalja</w:t>
      </w:r>
      <w:r>
        <w:rPr/>
        <w:t>, hogy nem oszt meg információkat közvetlenül az adat alanyokkal, kivéve az Adatkezelő elérhetőségét.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Adatfeldolgozó saját döntési körében és saját költségén vállalja, hogy a Rendelet 32-es cikkelyében meghatározott módon megteszi a megfelelő szervezési és technikai intézkedéseket, </w:t>
      </w:r>
      <w:r>
        <w:rPr/>
        <w:t>annak érdekében, hogy</w:t>
      </w:r>
      <w:r>
        <w:rPr/>
        <w:t xml:space="preserve"> biztosítsa az adatkezelés biztonságát, integritását, elkerülje az adatvesztést, harmadik fél jogosulatlan hozzáférését. </w:t>
      </w:r>
      <w:r>
        <w:rPr/>
        <w:t>T</w:t>
      </w:r>
      <w:r>
        <w:rPr/>
        <w:t>ovábbá gondoskodik róla, hogy ezek az intézkedések az adat alanyok kockázatával arányosak legyenek.</w:t>
      </w:r>
    </w:p>
    <w:p>
      <w:pPr>
        <w:pStyle w:val="Szvegtrzs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vállalja, hogy az adatkezelés földrajzilag az Európai Gazdasági Közösség (EGK) területén belül zajlik. Amennyiben az EGK-án kívüli adattovábbítás történik, arról az Adatfeldolgozó előzetesen értesíti az Adatkezelőt és kizárólag az Adatkez</w:t>
      </w:r>
      <w:r>
        <w:rPr/>
        <w:t>e</w:t>
      </w:r>
      <w:r>
        <w:rPr/>
        <w:t>lő írásos hozzájárulásával végez ilyen adattovábbítást.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3.3 Az Adatkezelő kötelezettségei</w:t>
      </w:r>
    </w:p>
    <w:p>
      <w:pPr>
        <w:pStyle w:val="Szvegtrzs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Adatkezelő késlekedés nélkül értesíti az Adatfeldolgozót a szerződésben foglalt adatkezeléssel kapcsolatosan indult hatóság</w:t>
      </w:r>
      <w:r>
        <w:rPr/>
        <w:t xml:space="preserve">i </w:t>
      </w:r>
      <w:r>
        <w:rPr/>
        <w:t>vizsgálatokról.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>3.4 Az Adatfeldolgozó kötelezettségei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</w:t>
      </w:r>
      <w:r>
        <w:rPr/>
        <w:t>A</w:t>
      </w:r>
      <w:r>
        <w:rPr/>
        <w:t xml:space="preserve">datfeldolgozó technikai és szervezési lépésekkel segíti az </w:t>
      </w:r>
      <w:r>
        <w:rPr/>
        <w:t>A</w:t>
      </w:r>
      <w:r>
        <w:rPr/>
        <w:t>datkezelő GDPR jogokhoz (12-23. cikkely) kapcsolódó feladatait, figyelembe véve a Rendel</w:t>
      </w:r>
      <w:r>
        <w:rPr/>
        <w:t xml:space="preserve">et </w:t>
      </w:r>
      <w:r>
        <w:rPr/>
        <w:t xml:space="preserve">által megjelölt határidőket. Az </w:t>
      </w:r>
      <w:r>
        <w:rPr/>
        <w:t>A</w:t>
      </w:r>
      <w:r>
        <w:rPr/>
        <w:t>datfeldolgozó ezért költséget számolhat fel.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</w:t>
      </w:r>
      <w:r>
        <w:rPr/>
        <w:t>A</w:t>
      </w:r>
      <w:r>
        <w:rPr/>
        <w:t>datfeldolgozó a Rendelet 30/2-es cikkelye szerinti nyilvántartást vezet az adatkezelésekről.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</w:t>
      </w:r>
      <w:r>
        <w:rPr/>
        <w:t>A</w:t>
      </w:r>
      <w:r>
        <w:rPr/>
        <w:t xml:space="preserve">datfeldolgozó </w:t>
      </w:r>
      <w:r>
        <w:rPr/>
        <w:t>támogatja az Adatkezelőt a Rendelet 30/1-es cikkely</w:t>
      </w:r>
      <w:r>
        <w:rPr/>
        <w:t xml:space="preserve">ében </w:t>
      </w:r>
      <w:r>
        <w:rPr/>
        <w:t xml:space="preserve"> meghatározott nyilvántartás elkészítésében. Az Adatfeldolgozó ezért költséget számolhat fel.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tájékoztatja az Adatkezelőt, ha olyan adatkezelés történik, amely ebben a szerződésben nem került rögzítésre, de törvényi kötelezettség miatt mégis végrehajtására kerül.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vállalja, hogy az Adatkezelőt érintő, jelen adatkezeléssel összefüggő hatósági ellenőrzés során az Adatkezelőt a folyamatban megfelelő módon támogatja. Az Adatfeldolgozó ezért költséget számolhat fel.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a jelen adatkezelést érintő technikai és szervezési intézkedésekről az Adatkezelő részére információkat ad át, amint az a Rendelet 28/2/c cikkelyében meg van határozva. Az Adatfeldolgozó ezért költséget számolhat fel.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Adatkezelő indítványozhat az Adatfeldolgozót célzó </w:t>
      </w:r>
      <w:r>
        <w:rPr/>
        <w:t xml:space="preserve">vizsgálatot </w:t>
      </w:r>
      <w:r>
        <w:rPr/>
        <w:t xml:space="preserve">a jelen szerződésben meghatározott adatkezelés tekintetében. Az Adatfeldolgozó vállalja, hogy a </w:t>
      </w:r>
      <w:r>
        <w:rPr/>
        <w:t xml:space="preserve">vizsgálati </w:t>
      </w:r>
      <w:r>
        <w:rPr/>
        <w:t xml:space="preserve"> folyamattal kapcsolatban az Adatkezelővel együttműködik. Az Adatfeldolgozó ezért költséget számolhat fel.</w:t>
      </w:r>
    </w:p>
    <w:p>
      <w:pPr>
        <w:pStyle w:val="Szvegtrzs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vállalja, hogy azonnal informálja az Adatkezelőt, ha véleménye szerint az Adatkezelő rendelkezése valamilyen módon sérti a Rendeletet.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 xml:space="preserve">3.5 </w:t>
      </w:r>
      <w:r>
        <w:rPr/>
        <w:t>A 32-36. cikkellyel összefüggő kötelezettségek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 xml:space="preserve">Az Adatfeldolgozó az Adatkezelő irányában a </w:t>
      </w:r>
      <w:r>
        <w:rPr/>
        <w:t xml:space="preserve">Rendelet </w:t>
      </w:r>
      <w:r>
        <w:rPr/>
        <w:t>32-36. cikkelyben meghatározott kötelezettségei kapcsán az Adatfeldolgozó az adatkezelés jellegét és a rendelkezésre álló információkat veszi alapul.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48 órán belül értesíti az Adatkezelőt az adatkezelést érintő incidensekről, hogy az Adatkezelő eleget tehessen a Rendelet 33. cikkelyében meghatározott incidens bejelentésnek.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Adatvédelmi incidens esetén, az Adatfeldolgozó technikai és szervezési értelemeben támogatja az Adatkezelő</w:t>
      </w:r>
      <w:r>
        <w:rPr/>
        <w:t>t</w:t>
      </w:r>
      <w:r>
        <w:rPr/>
        <w:t xml:space="preserve"> az adat alanyok felé irányuló tájékoztatási kötelezettség teljesítésében. </w:t>
      </w:r>
      <w:r>
        <w:rPr/>
        <w:t>Az Adatfeldolgozó ezért költséget számolhat fel.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Ha az Adatkezelő erről dönt, a</w:t>
      </w:r>
      <w:r>
        <w:rPr/>
        <w:t xml:space="preserve">z Adatfeldolgozó együttműködik az adatvédelmi hatásvizsgálat elvégzésében. </w:t>
      </w:r>
      <w:r>
        <w:rPr/>
        <w:t>Az Adatfeldolgozó ezért költséget számolhat fel.</w:t>
      </w:r>
    </w:p>
    <w:p>
      <w:pPr>
        <w:pStyle w:val="Szvegtrzs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Adatfeldolgozó, amennyiben az adatkezelés jellege megkívánja, a 37. cikkelyben meghatározottak szerint adatvédelmi tisztviselőt nevez ki.</w:t>
      </w:r>
    </w:p>
    <w:p>
      <w:pPr>
        <w:pStyle w:val="Cmsor3"/>
        <w:numPr>
          <w:ilvl w:val="0"/>
          <w:numId w:val="0"/>
        </w:numPr>
        <w:bidi w:val="0"/>
        <w:spacing w:before="140" w:after="120"/>
        <w:jc w:val="left"/>
        <w:outlineLvl w:val="2"/>
        <w:rPr/>
      </w:pPr>
      <w:r>
        <w:rPr/>
        <w:t xml:space="preserve">3.6 </w:t>
      </w:r>
      <w:r>
        <w:rPr/>
        <w:t>További Adatfeldolgozók</w:t>
      </w:r>
    </w:p>
    <w:p>
      <w:pPr>
        <w:pStyle w:val="Szvegtrzs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az adatkezelésbe további Adatfeldolgozókat is bevonhat, de ezt csak az Adatkezelő előzetes írásos engedélyével teheti meg.</w:t>
      </w:r>
    </w:p>
    <w:p>
      <w:pPr>
        <w:pStyle w:val="Szvegtrzs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vállalja, hogy csak a Rendeletnek előírásait teljesítő további Adatfeldolgozókat von be az adatkezelésbe. Az Adatfeldolgozó felelős a további Adatfeldolgozók megfeleléséért.</w:t>
      </w:r>
    </w:p>
    <w:p>
      <w:pPr>
        <w:pStyle w:val="Szvegtrzs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/>
        <w:t>Az Adatfeldolgozó vállalja, hogy a Rendeletnek (28. cikkely) megfelelő adatkezelési szerződéssel alkalmazza a további Adatfeldolgozókat.</w:t>
      </w:r>
    </w:p>
    <w:p>
      <w:pPr>
        <w:pStyle w:val="Cmsor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/>
        <w:t xml:space="preserve">4. </w:t>
      </w:r>
      <w:r>
        <w:rPr/>
        <w:t>Az adatkezelésbe bevont további Adatfeldolgozók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 xml:space="preserve">Az adatkezelés végrehajtásához, az Adatfeldolgozó az alábbi további Adatfeldolgozókat vonja </w:t>
      </w:r>
      <w:r>
        <w:rPr/>
        <w:t>be</w:t>
      </w:r>
      <w:r>
        <w:rPr/>
        <w:t>, a feltüntetett célokra.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>
          <w:b w:val="false"/>
        </w:rPr>
        <w:t xml:space="preserve">[adatfeldolgozó neve, </w:t>
        <w:br/>
      </w:r>
      <w:r>
        <w:rPr>
          <w:b w:val="false"/>
        </w:rPr>
        <w:t xml:space="preserve">adatfeldolgozó </w:t>
      </w:r>
      <w:r>
        <w:rPr>
          <w:b w:val="false"/>
        </w:rPr>
        <w:t xml:space="preserve">elérhetősége, </w:t>
        <w:br/>
        <w:t xml:space="preserve">adatkezelés célja, </w:t>
        <w:br/>
        <w:t xml:space="preserve">érintett adat alanyok kategóriái, </w:t>
        <w:br/>
        <w:t>érintett adatok kategóriái]</w:t>
      </w:r>
    </w:p>
    <w:p>
      <w:pPr>
        <w:pStyle w:val="Cmsor2"/>
        <w:numPr>
          <w:ilvl w:val="0"/>
          <w:numId w:val="0"/>
        </w:numPr>
        <w:bidi w:val="0"/>
        <w:spacing w:before="200" w:after="120"/>
        <w:jc w:val="left"/>
        <w:outlineLvl w:val="1"/>
        <w:rPr/>
      </w:pPr>
      <w:r>
        <w:rPr/>
        <w:t>5. Egyéb rendelkezések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 költségek elszámolása tekintetében az adatkezelési megbízási szerződésben foglaltak az irányadók.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  <w:t>A</w:t>
      </w:r>
      <w:r>
        <w:rPr/>
        <w:t>z itt nem szabályozott kérdésekben a Ptk. rendelkezései az irányadók.</w:t>
      </w:r>
    </w:p>
    <w:p>
      <w:pPr>
        <w:pStyle w:val="Szvegtrzs"/>
        <w:bidi w:val="0"/>
        <w:spacing w:lineRule="auto" w:line="288" w:before="0" w:after="140"/>
        <w:jc w:val="left"/>
        <w:rPr/>
      </w:pPr>
      <w:r>
        <w:rPr/>
      </w:r>
    </w:p>
    <w:p>
      <w:pPr>
        <w:pStyle w:val="Szvegtrzs"/>
        <w:bidi w:val="0"/>
        <w:jc w:val="left"/>
        <w:rPr/>
      </w:pPr>
      <w:r>
        <w:rPr/>
        <w:t xml:space="preserve">Kelt: </w:t>
      </w:r>
      <w:r>
        <w:rPr>
          <w:sz w:val="22"/>
          <w:szCs w:val="22"/>
        </w:rPr>
        <w:t>_________________________</w:t>
      </w:r>
    </w:p>
    <w:p>
      <w:pPr>
        <w:pStyle w:val="Szvegtrzs"/>
        <w:bidi w:val="0"/>
        <w:jc w:val="left"/>
        <w:rPr/>
      </w:pPr>
      <w:r>
        <w:rPr/>
      </w:r>
    </w:p>
    <w:p>
      <w:pPr>
        <w:pStyle w:val="Szvegtrzs"/>
        <w:bidi w:val="0"/>
        <w:jc w:val="left"/>
        <w:rPr/>
      </w:pPr>
      <w:r>
        <w:rPr/>
      </w:r>
    </w:p>
    <w:p>
      <w:pPr>
        <w:pStyle w:val="Szvegtrzs"/>
        <w:bidi w:val="0"/>
        <w:jc w:val="left"/>
        <w:rPr/>
      </w:pPr>
      <w:r>
        <w:rPr/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Szvegtrzs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Szvegtrzs"/>
              <w:bidi w:val="0"/>
              <w:spacing w:before="0" w:after="14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Megrendelő, mint Adatkezelő</w:t>
            </w:r>
          </w:p>
        </w:tc>
        <w:tc>
          <w:tcPr>
            <w:tcW w:w="4820" w:type="dxa"/>
            <w:tcBorders/>
          </w:tcPr>
          <w:p>
            <w:pPr>
              <w:pStyle w:val="Szvegtrzs"/>
              <w:bidi w:val="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</w:t>
            </w:r>
          </w:p>
          <w:p>
            <w:pPr>
              <w:pStyle w:val="Szvegtrzs"/>
              <w:bidi w:val="0"/>
              <w:spacing w:before="0" w:after="140"/>
              <w:jc w:val="center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sz w:val="22"/>
                <w:szCs w:val="22"/>
              </w:rPr>
              <w:t>Szolgáltató, mint Adatfeldolgozó</w:t>
            </w:r>
          </w:p>
        </w:tc>
      </w:tr>
    </w:tbl>
    <w:p>
      <w:pPr>
        <w:pStyle w:val="Szvegtrzs"/>
        <w:bidi w:val="0"/>
        <w:jc w:val="left"/>
        <w:rPr/>
      </w:pPr>
      <w:r>
        <w:rPr/>
      </w:r>
    </w:p>
    <w:p>
      <w:pPr>
        <w:pStyle w:val="Szvegtrzs"/>
        <w:bidi w:val="0"/>
        <w:spacing w:before="0" w:after="14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Bitstream Vera Sans" w:cs="Bitstream Vera Sans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Bitstream Vera Sans" w:cs="Bitstream Ver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0"/>
      </w:numPr>
      <w:spacing w:before="240" w:after="120"/>
      <w:outlineLvl w:val="0"/>
    </w:pPr>
    <w:rPr>
      <w:rFonts w:ascii="Liberation Sans" w:hAnsi="Liberation Sans" w:eastAsia="Bitstream Vera Sans" w:cs="Bitstream Vera Sans"/>
      <w:b/>
      <w:bCs/>
      <w:sz w:val="48"/>
      <w:szCs w:val="48"/>
    </w:rPr>
  </w:style>
  <w:style w:type="paragraph" w:styleId="Cmsor2">
    <w:name w:val="Heading 2"/>
    <w:basedOn w:val="Cmsor"/>
    <w:next w:val="Szvegtrzs"/>
    <w:qFormat/>
    <w:pPr>
      <w:numPr>
        <w:ilvl w:val="0"/>
        <w:numId w:val="0"/>
      </w:numPr>
      <w:spacing w:before="200" w:after="120"/>
      <w:outlineLvl w:val="1"/>
    </w:pPr>
    <w:rPr>
      <w:rFonts w:ascii="Liberation Sans" w:hAnsi="Liberation Sans" w:eastAsia="Bitstream Vera Sans" w:cs="Bitstream Vera Sans"/>
      <w:b/>
      <w:bCs/>
      <w:sz w:val="32"/>
      <w:szCs w:val="32"/>
    </w:rPr>
  </w:style>
  <w:style w:type="paragraph" w:styleId="Cmsor3">
    <w:name w:val="Heading 3"/>
    <w:basedOn w:val="Cmsor"/>
    <w:next w:val="Szvegtrzs"/>
    <w:qFormat/>
    <w:pPr>
      <w:numPr>
        <w:ilvl w:val="0"/>
        <w:numId w:val="0"/>
      </w:numPr>
      <w:spacing w:before="140" w:after="120"/>
      <w:outlineLvl w:val="2"/>
    </w:pPr>
    <w:rPr>
      <w:rFonts w:ascii="Liberation Sans" w:hAnsi="Liberation Sans" w:eastAsia="Bitstream Vera Sans" w:cs="Bitstream Vera Sans"/>
      <w:b/>
      <w:bCs/>
      <w:sz w:val="24"/>
      <w:szCs w:val="24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character" w:styleId="Szmozsjelek">
    <w:name w:val="Számozásjelek"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>
      <w:rFonts w:ascii="Liberation Sans" w:hAnsi="Liberation Sans"/>
      <w:sz w:val="22"/>
      <w:szCs w:val="22"/>
    </w:rPr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co.org.uk/media/about-the-ico/consultations/2014789/draft-gdpr-contracts-guidance-v1-for-consultation-september-2017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LibreOffice/6.4.5.2$Linux_X86_64 LibreOffice_project/40$Build-2</Application>
  <Pages>5</Pages>
  <Words>1296</Words>
  <Characters>9738</Characters>
  <CharactersWithSpaces>10927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2018-05-07T16:31:03Z</dcterms:created>
  <dc:creator/>
  <dc:description/>
  <dc:language>hu-HU</dc:language>
  <cp:lastModifiedBy/>
  <dcterms:modified xsi:type="dcterms:W3CDTF">2020-09-16T12:56:28Z</dcterms:modified>
  <cp:revision>23</cp:revision>
  <dc:subject/>
  <dc:title/>
</cp:coreProperties>
</file>